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4C77" w14:textId="77777777" w:rsidR="008E3205" w:rsidRPr="005B6427" w:rsidRDefault="008E3205" w:rsidP="00156127">
      <w:pPr>
        <w:ind w:left="216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TEMPLATE FOR PRIOR AUTH/PRE-DETERMINATIONS</w:t>
      </w:r>
    </w:p>
    <w:p w14:paraId="2881278E" w14:textId="7046C68F" w:rsidR="008E3205" w:rsidRPr="005B6427" w:rsidRDefault="008E3205" w:rsidP="00156127">
      <w:pPr>
        <w:ind w:left="216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FOR USE BY PROVIDER THROUGH REQUEST TO </w:t>
      </w:r>
      <w:r w:rsidR="00156127" w:rsidRPr="005B6427">
        <w:rPr>
          <w:rFonts w:cstheme="minorHAnsi"/>
          <w:sz w:val="22"/>
          <w:szCs w:val="22"/>
        </w:rPr>
        <w:t>ILLUCCIX</w:t>
      </w:r>
      <w:r w:rsidRPr="005B6427">
        <w:rPr>
          <w:rFonts w:cstheme="minorHAnsi"/>
          <w:sz w:val="22"/>
          <w:szCs w:val="22"/>
        </w:rPr>
        <w:t>® HOTLINE</w:t>
      </w:r>
    </w:p>
    <w:p w14:paraId="7DD74082" w14:textId="77777777" w:rsidR="008E3205" w:rsidRPr="005B6427" w:rsidRDefault="008E3205" w:rsidP="008E3205">
      <w:pPr>
        <w:jc w:val="center"/>
        <w:rPr>
          <w:rFonts w:cstheme="minorHAnsi"/>
          <w:sz w:val="22"/>
          <w:szCs w:val="22"/>
        </w:rPr>
      </w:pPr>
    </w:p>
    <w:p w14:paraId="14D7572B" w14:textId="61C936F4" w:rsidR="00D516FE" w:rsidRPr="00D516FE" w:rsidRDefault="008E3205" w:rsidP="00D516FE">
      <w:pPr>
        <w:rPr>
          <w:rFonts w:ascii="Times New Roman" w:eastAsia="Times New Roman" w:hAnsi="Times New Roman" w:cs="Times New Roman"/>
          <w:sz w:val="22"/>
          <w:szCs w:val="22"/>
        </w:rPr>
      </w:pPr>
      <w:r w:rsidRPr="00D516FE">
        <w:rPr>
          <w:rFonts w:cstheme="minorHAnsi"/>
          <w:sz w:val="22"/>
          <w:szCs w:val="22"/>
        </w:rPr>
        <w:t>THIS DOCUMENT IS PROVIDED SOLELY AS A TEMPLATE AND ANY LETTER DRAFTED SHOULD BE ON PROVIDER’S OWN LETTERHEAD; PROVIDER IS RESPONSIBLE FOR COMPLETING ALL APPLICABLE PATIENT INFORMATION</w:t>
      </w:r>
      <w:r w:rsidR="007E1D0D">
        <w:rPr>
          <w:rFonts w:cstheme="minorHAnsi"/>
          <w:sz w:val="22"/>
          <w:szCs w:val="22"/>
        </w:rPr>
        <w:t>.</w:t>
      </w:r>
      <w:r w:rsidR="00D516FE" w:rsidRPr="00D516FE">
        <w:rPr>
          <w:rFonts w:cstheme="minorHAnsi"/>
          <w:sz w:val="22"/>
          <w:szCs w:val="22"/>
        </w:rPr>
        <w:t xml:space="preserve"> </w:t>
      </w:r>
      <w:r w:rsidR="00D516FE" w:rsidRPr="00D516FE">
        <w:rPr>
          <w:rFonts w:eastAsia="Times New Roman" w:cstheme="minorHAnsi"/>
          <w:sz w:val="22"/>
          <w:szCs w:val="22"/>
          <w:shd w:val="clear" w:color="auto" w:fill="FFFFFF"/>
        </w:rPr>
        <w:t>PAYOR OR INSURER MAY REQUIRE ADDITIONAL OR DIFFERENT INFORMATION THAN THAT CONTAINED IN THIS TEMPLATE. USE OF THE TEMPLATE IS NOT A GUARANTEE OF REIMBURSEMENT OR APPROVAL. THE PROVIDER IS SOLELY RESPONSIBLE FOR MEETING THE REQUIREMENTS AND PROVIDING THE DOCUMENTATION REQUIRED BY THE PAYOR OR INSURER.</w:t>
      </w:r>
    </w:p>
    <w:p w14:paraId="495A34E8" w14:textId="43DCD65D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24AC83FF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09508DB4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[Date]</w:t>
      </w:r>
    </w:p>
    <w:p w14:paraId="7258F17A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5934D346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ATTN: </w:t>
      </w:r>
      <w:r w:rsidRPr="005B6427">
        <w:rPr>
          <w:rFonts w:cstheme="minorHAnsi"/>
          <w:sz w:val="22"/>
          <w:szCs w:val="22"/>
          <w:highlight w:val="yellow"/>
        </w:rPr>
        <w:t>[Dept Name]</w:t>
      </w:r>
    </w:p>
    <w:p w14:paraId="1849044F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[Name of Insurance Company]</w:t>
      </w:r>
      <w:r w:rsidRPr="005B6427">
        <w:rPr>
          <w:rFonts w:cstheme="minorHAnsi"/>
          <w:sz w:val="22"/>
          <w:szCs w:val="22"/>
        </w:rPr>
        <w:t xml:space="preserve"> </w:t>
      </w:r>
    </w:p>
    <w:p w14:paraId="5A9A0B4E" w14:textId="68296D0A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FAX #: </w:t>
      </w:r>
      <w:r w:rsidRPr="005B6427">
        <w:rPr>
          <w:rFonts w:cstheme="minorHAnsi"/>
          <w:sz w:val="22"/>
          <w:szCs w:val="22"/>
          <w:highlight w:val="yellow"/>
        </w:rPr>
        <w:t>[fax #]</w:t>
      </w:r>
    </w:p>
    <w:p w14:paraId="62B0983C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2BCD1B07" w14:textId="77777777" w:rsidR="008E3205" w:rsidRPr="005B6427" w:rsidRDefault="008E3205" w:rsidP="008E3205">
      <w:pPr>
        <w:rPr>
          <w:rFonts w:cstheme="minorHAnsi"/>
          <w:b/>
          <w:bCs/>
          <w:sz w:val="22"/>
          <w:szCs w:val="22"/>
          <w:u w:val="single"/>
        </w:rPr>
      </w:pPr>
      <w:r w:rsidRPr="005B6427">
        <w:rPr>
          <w:rFonts w:cstheme="minorHAnsi"/>
          <w:b/>
          <w:bCs/>
          <w:sz w:val="22"/>
          <w:szCs w:val="22"/>
          <w:u w:val="single"/>
        </w:rPr>
        <w:t xml:space="preserve">RE: </w:t>
      </w:r>
      <w:r w:rsidRPr="005B6427">
        <w:rPr>
          <w:rFonts w:cstheme="minorHAnsi"/>
          <w:b/>
          <w:bCs/>
          <w:sz w:val="22"/>
          <w:szCs w:val="22"/>
          <w:highlight w:val="yellow"/>
          <w:u w:val="single"/>
        </w:rPr>
        <w:t>Prior Authorization/Pre-Determination</w:t>
      </w:r>
      <w:r w:rsidRPr="005B6427">
        <w:rPr>
          <w:rFonts w:cstheme="minorHAnsi"/>
          <w:b/>
          <w:bCs/>
          <w:sz w:val="22"/>
          <w:szCs w:val="22"/>
          <w:u w:val="single"/>
        </w:rPr>
        <w:t xml:space="preserve"> request for PSMA-targeted PET imaging with Illuccix®</w:t>
      </w:r>
    </w:p>
    <w:p w14:paraId="76929E3A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71CD0A3B" w14:textId="77777777" w:rsidR="008E3205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>ICD10 Diagnosis Code(s):</w:t>
      </w:r>
    </w:p>
    <w:p w14:paraId="620E80AD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CPT / HCPCS Code(s):</w:t>
      </w:r>
    </w:p>
    <w:p w14:paraId="707A2672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1921D0BD" w14:textId="77777777" w:rsidR="008E3205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>Patient Name:</w:t>
      </w:r>
    </w:p>
    <w:p w14:paraId="415196BC" w14:textId="77777777" w:rsidR="008E3205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>Subscriber ID#:</w:t>
      </w:r>
    </w:p>
    <w:p w14:paraId="72108D59" w14:textId="77777777" w:rsidR="008E3205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>Group #:</w:t>
      </w:r>
    </w:p>
    <w:p w14:paraId="000B947C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Date of Birth (DOB):</w:t>
      </w:r>
    </w:p>
    <w:p w14:paraId="574C03FB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1A419119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Anticipated Date of Service:</w:t>
      </w:r>
    </w:p>
    <w:p w14:paraId="6068362F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Pending Ref #:</w:t>
      </w:r>
    </w:p>
    <w:p w14:paraId="18F39B91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54A3D221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Dear Medical Reviewer:</w:t>
      </w:r>
    </w:p>
    <w:p w14:paraId="2BC12EA1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2D26ACE2" w14:textId="463A11F3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I am writing to request </w:t>
      </w:r>
      <w:r w:rsidRPr="005B6427">
        <w:rPr>
          <w:rFonts w:cstheme="minorHAnsi"/>
          <w:sz w:val="22"/>
          <w:szCs w:val="22"/>
          <w:highlight w:val="yellow"/>
        </w:rPr>
        <w:t>prior authorization/pre-determination</w:t>
      </w:r>
      <w:r w:rsidRPr="005B6427">
        <w:rPr>
          <w:rFonts w:cstheme="minorHAnsi"/>
          <w:sz w:val="22"/>
          <w:szCs w:val="22"/>
        </w:rPr>
        <w:t xml:space="preserve"> for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>Gallium PSMA-11 PET</w:t>
      </w:r>
      <w:r w:rsidR="00546DAD">
        <w:rPr>
          <w:rFonts w:cstheme="minorHAnsi"/>
          <w:sz w:val="22"/>
          <w:szCs w:val="22"/>
        </w:rPr>
        <w:t xml:space="preserve"> (also known as Gallium Ga 68 </w:t>
      </w:r>
      <w:proofErr w:type="spellStart"/>
      <w:r w:rsidR="00496875">
        <w:rPr>
          <w:rFonts w:cstheme="minorHAnsi"/>
          <w:sz w:val="22"/>
          <w:szCs w:val="22"/>
        </w:rPr>
        <w:t>g</w:t>
      </w:r>
      <w:r w:rsidR="00546DAD">
        <w:rPr>
          <w:rFonts w:cstheme="minorHAnsi"/>
          <w:sz w:val="22"/>
          <w:szCs w:val="22"/>
        </w:rPr>
        <w:t>ozetot</w:t>
      </w:r>
      <w:r w:rsidR="00496875">
        <w:rPr>
          <w:rFonts w:cstheme="minorHAnsi"/>
          <w:sz w:val="22"/>
          <w:szCs w:val="22"/>
        </w:rPr>
        <w:t>id</w:t>
      </w:r>
      <w:r w:rsidR="00546DAD">
        <w:rPr>
          <w:rFonts w:cstheme="minorHAnsi"/>
          <w:sz w:val="22"/>
          <w:szCs w:val="22"/>
        </w:rPr>
        <w:t>e</w:t>
      </w:r>
      <w:proofErr w:type="spellEnd"/>
      <w:r w:rsidR="00546DAD">
        <w:rPr>
          <w:rFonts w:cstheme="minorHAnsi"/>
          <w:sz w:val="22"/>
          <w:szCs w:val="22"/>
        </w:rPr>
        <w:t>)</w:t>
      </w:r>
      <w:r w:rsidRPr="005B6427">
        <w:rPr>
          <w:rFonts w:cstheme="minorHAnsi"/>
          <w:sz w:val="22"/>
          <w:szCs w:val="22"/>
        </w:rPr>
        <w:t xml:space="preserve"> imaging prepared with Illuccix® for my patient </w:t>
      </w:r>
      <w:r w:rsidRPr="005B6427">
        <w:rPr>
          <w:rFonts w:cstheme="minorHAnsi"/>
          <w:sz w:val="22"/>
          <w:szCs w:val="22"/>
          <w:highlight w:val="yellow"/>
        </w:rPr>
        <w:t>[patient name]</w:t>
      </w:r>
      <w:r w:rsidRPr="005B6427">
        <w:rPr>
          <w:rFonts w:cstheme="minorHAnsi"/>
          <w:sz w:val="22"/>
          <w:szCs w:val="22"/>
        </w:rPr>
        <w:t xml:space="preserve"> who has confirmed prostate cancer, </w:t>
      </w:r>
      <w:r w:rsidRPr="005B6427">
        <w:rPr>
          <w:rFonts w:cstheme="minorHAnsi"/>
          <w:sz w:val="22"/>
          <w:szCs w:val="22"/>
          <w:highlight w:val="yellow"/>
        </w:rPr>
        <w:t>[add ICD.10CM code for patient’s diagnosis here]</w:t>
      </w:r>
      <w:r w:rsidRPr="005B6427">
        <w:rPr>
          <w:rFonts w:cstheme="minorHAnsi"/>
          <w:sz w:val="22"/>
          <w:szCs w:val="22"/>
        </w:rPr>
        <w:t>.</w:t>
      </w:r>
    </w:p>
    <w:p w14:paraId="3FC31E23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1F35E3EA" w14:textId="19C3FB80" w:rsidR="008E3205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PSMA-targeted PET imaging can assist in determining if his prostate cancer has spread to other parts of the body</w:t>
      </w:r>
      <w:r w:rsidR="00415F09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 xml:space="preserve">and </w:t>
      </w:r>
      <w:r w:rsidR="00415F09" w:rsidRPr="005B6427">
        <w:rPr>
          <w:rFonts w:cstheme="minorHAnsi"/>
          <w:sz w:val="22"/>
          <w:szCs w:val="22"/>
        </w:rPr>
        <w:t xml:space="preserve">can </w:t>
      </w:r>
      <w:r w:rsidRPr="005B6427">
        <w:rPr>
          <w:rFonts w:cstheme="minorHAnsi"/>
          <w:sz w:val="22"/>
          <w:szCs w:val="22"/>
        </w:rPr>
        <w:t xml:space="preserve">potentially impact his recommended treatment. The purpose of using PSMA-targeted PET imaging with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 xml:space="preserve">Gallium-PSMA 11 injection is to detect and locate metastatic spread of cancer as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>Gallium PSMA-11 binds to the prostate specific membrane antigen protein found on the surface of over 90% of prostate cancer cells.</w:t>
      </w:r>
    </w:p>
    <w:p w14:paraId="0E941207" w14:textId="77777777" w:rsidR="00546DAD" w:rsidRPr="005B6427" w:rsidRDefault="00546DAD" w:rsidP="008E3205">
      <w:pPr>
        <w:rPr>
          <w:rFonts w:cstheme="minorHAnsi"/>
          <w:sz w:val="22"/>
          <w:szCs w:val="22"/>
        </w:rPr>
      </w:pPr>
    </w:p>
    <w:p w14:paraId="71755C4D" w14:textId="5B389009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Based on the results of PSMA-targeted PET imaging with Illuccix, we believe we will be able to provide a more personalized and appropriate treatment and management plan for </w:t>
      </w:r>
      <w:r w:rsidR="00415F09" w:rsidRPr="005B6427">
        <w:rPr>
          <w:rFonts w:cstheme="minorHAnsi"/>
          <w:sz w:val="22"/>
          <w:szCs w:val="22"/>
          <w:highlight w:val="yellow"/>
        </w:rPr>
        <w:t>[</w:t>
      </w:r>
      <w:r w:rsidRPr="005B6427">
        <w:rPr>
          <w:rFonts w:cstheme="minorHAnsi"/>
          <w:sz w:val="22"/>
          <w:szCs w:val="22"/>
          <w:highlight w:val="yellow"/>
        </w:rPr>
        <w:t>name of patient</w:t>
      </w:r>
      <w:r w:rsidR="00415F09" w:rsidRPr="005B6427">
        <w:rPr>
          <w:rFonts w:cstheme="minorHAnsi"/>
          <w:sz w:val="22"/>
          <w:szCs w:val="22"/>
          <w:highlight w:val="yellow"/>
        </w:rPr>
        <w:t>]</w:t>
      </w:r>
      <w:r w:rsidRPr="005B6427">
        <w:rPr>
          <w:rFonts w:cstheme="minorHAnsi"/>
          <w:sz w:val="22"/>
          <w:szCs w:val="22"/>
        </w:rPr>
        <w:t>.</w:t>
      </w:r>
    </w:p>
    <w:p w14:paraId="54478EC9" w14:textId="77777777" w:rsidR="00415F09" w:rsidRPr="005B6427" w:rsidRDefault="00415F09" w:rsidP="008E3205">
      <w:pPr>
        <w:rPr>
          <w:rFonts w:cstheme="minorHAnsi"/>
          <w:sz w:val="22"/>
          <w:szCs w:val="22"/>
        </w:rPr>
      </w:pPr>
    </w:p>
    <w:p w14:paraId="35B0B5AA" w14:textId="00997BFD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Numerous data supports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>Gallium PSMA-11 targeted PET imaging as a sensitive diagnostic agent for initial</w:t>
      </w:r>
      <w:r w:rsidR="00415F09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staging and in disease recurrence, including men whose conventional imaging fails to detect prostate cancer</w:t>
      </w:r>
      <w:r w:rsidR="00B62C11" w:rsidRP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1,2,4-6</w:t>
      </w:r>
      <w:r w:rsidRPr="005B6427">
        <w:rPr>
          <w:rFonts w:cstheme="minorHAnsi"/>
          <w:sz w:val="22"/>
          <w:szCs w:val="22"/>
        </w:rPr>
        <w:t xml:space="preserve"> Additionally, Illuccix (kit for the preparation of </w:t>
      </w:r>
      <w:r w:rsidR="00415F09" w:rsidRPr="005B6427">
        <w:rPr>
          <w:rFonts w:cstheme="minorHAnsi"/>
          <w:sz w:val="22"/>
          <w:szCs w:val="22"/>
        </w:rPr>
        <w:t>g</w:t>
      </w:r>
      <w:r w:rsidRPr="005B6427">
        <w:rPr>
          <w:rFonts w:cstheme="minorHAnsi"/>
          <w:sz w:val="22"/>
          <w:szCs w:val="22"/>
        </w:rPr>
        <w:t>allium</w:t>
      </w:r>
      <w:r w:rsidR="00415F09" w:rsidRPr="005B6427">
        <w:rPr>
          <w:rFonts w:cstheme="minorHAnsi"/>
          <w:sz w:val="22"/>
          <w:szCs w:val="22"/>
        </w:rPr>
        <w:t xml:space="preserve"> Ga 68</w:t>
      </w:r>
      <w:r w:rsidRPr="005B6427">
        <w:rPr>
          <w:rFonts w:cstheme="minorHAnsi"/>
          <w:sz w:val="22"/>
          <w:szCs w:val="22"/>
        </w:rPr>
        <w:t xml:space="preserve"> </w:t>
      </w:r>
      <w:r w:rsidR="00FF0D0F" w:rsidRPr="005B6427">
        <w:rPr>
          <w:rFonts w:cstheme="minorHAnsi"/>
          <w:sz w:val="22"/>
          <w:szCs w:val="22"/>
        </w:rPr>
        <w:t>gozetotide injection</w:t>
      </w:r>
      <w:r w:rsidRPr="005B6427">
        <w:rPr>
          <w:rFonts w:cstheme="minorHAnsi"/>
          <w:sz w:val="22"/>
          <w:szCs w:val="22"/>
        </w:rPr>
        <w:t xml:space="preserve">) </w:t>
      </w:r>
      <w:r w:rsidRPr="005B6427">
        <w:rPr>
          <w:rFonts w:cstheme="minorHAnsi"/>
          <w:sz w:val="22"/>
          <w:szCs w:val="22"/>
        </w:rPr>
        <w:lastRenderedPageBreak/>
        <w:t>for intravenous use was approved by the FDA based on its sensitivity, specificity, positive and negative predictive value</w:t>
      </w:r>
      <w:r w:rsidRPr="005B6427">
        <w:rPr>
          <w:rFonts w:cstheme="minorHAnsi"/>
          <w:sz w:val="22"/>
          <w:szCs w:val="22"/>
          <w:vertAlign w:val="superscript"/>
        </w:rPr>
        <w:t>3</w:t>
      </w:r>
      <w:r w:rsidRPr="005B6427">
        <w:rPr>
          <w:rFonts w:cstheme="minorHAnsi"/>
          <w:sz w:val="22"/>
          <w:szCs w:val="22"/>
        </w:rPr>
        <w:t xml:space="preserve"> for identifying metastatic disease at initial diagnosis and recurrence at low prostate specific antigen (PSA)</w:t>
      </w:r>
      <w:r w:rsidR="00415F09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levels</w:t>
      </w:r>
      <w:r w:rsidR="00FF0D0F" w:rsidRPr="005B6427">
        <w:rPr>
          <w:rFonts w:cstheme="minorHAnsi"/>
          <w:sz w:val="22"/>
          <w:szCs w:val="22"/>
        </w:rPr>
        <w:t>. This includes</w:t>
      </w:r>
      <w:r w:rsidRPr="005B6427">
        <w:rPr>
          <w:rFonts w:cstheme="minorHAnsi"/>
          <w:sz w:val="22"/>
          <w:szCs w:val="22"/>
        </w:rPr>
        <w:t xml:space="preserve"> </w:t>
      </w:r>
      <w:r w:rsidR="00FF0D0F" w:rsidRPr="005B6427">
        <w:rPr>
          <w:rFonts w:cstheme="minorHAnsi"/>
          <w:sz w:val="22"/>
          <w:szCs w:val="22"/>
        </w:rPr>
        <w:t xml:space="preserve">detection </w:t>
      </w:r>
      <w:r w:rsidRPr="005B6427">
        <w:rPr>
          <w:rFonts w:cstheme="minorHAnsi"/>
          <w:sz w:val="22"/>
          <w:szCs w:val="22"/>
        </w:rPr>
        <w:t>in the clinically important range of low PSA values (&lt;0.5ng/mL) compared to conventional imaging</w:t>
      </w:r>
      <w:r w:rsidR="00B62C11" w:rsidRP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7-9</w:t>
      </w:r>
      <w:r w:rsidR="00B62C11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Conventional imaging (CT; MRI; bone scintigraphy) perform poorly in localizing sites of disease recurrence in patients with BCR, particularly when PSA values are low (&lt;2.0 ng/mL)</w:t>
      </w:r>
      <w:r w:rsidR="00B62C11" w:rsidRP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7-9</w:t>
      </w:r>
    </w:p>
    <w:p w14:paraId="57361E30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7C6A1DA7" w14:textId="177539E9" w:rsidR="000B355A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Conventional imaging modalities (CT; MRI; bone scintigraphy) were historically used to determine the extent of lymph node involvement and presence of metastases. Because of the increased sensitivity and specificity of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 xml:space="preserve">Ga PSMA-PET tracers compared to conventional imaging techniques, NCCN guidelines have </w:t>
      </w:r>
      <w:r w:rsidR="000B355A" w:rsidRPr="005B6427">
        <w:rPr>
          <w:rFonts w:cstheme="minorHAnsi"/>
          <w:sz w:val="22"/>
          <w:szCs w:val="22"/>
        </w:rPr>
        <w:t>been updated</w:t>
      </w:r>
      <w:r w:rsidRPr="005B6427">
        <w:rPr>
          <w:rFonts w:cstheme="minorHAnsi"/>
          <w:sz w:val="22"/>
          <w:szCs w:val="22"/>
        </w:rPr>
        <w:t xml:space="preserve"> to include</w:t>
      </w:r>
      <w:r w:rsidR="000B355A" w:rsidRPr="005B6427">
        <w:rPr>
          <w:rFonts w:cstheme="minorHAnsi"/>
          <w:sz w:val="22"/>
          <w:szCs w:val="22"/>
        </w:rPr>
        <w:t xml:space="preserve"> a recommendation for</w:t>
      </w:r>
      <w:r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>Ga PSMA-PET for front</w:t>
      </w:r>
      <w:r w:rsidR="000B355A" w:rsidRPr="005B6427">
        <w:rPr>
          <w:rFonts w:cstheme="minorHAnsi"/>
          <w:sz w:val="22"/>
          <w:szCs w:val="22"/>
        </w:rPr>
        <w:t>-</w:t>
      </w:r>
      <w:r w:rsidRPr="005B6427">
        <w:rPr>
          <w:rFonts w:cstheme="minorHAnsi"/>
          <w:sz w:val="22"/>
          <w:szCs w:val="22"/>
        </w:rPr>
        <w:t>line imaging without the p</w:t>
      </w:r>
      <w:r w:rsidR="000B355A" w:rsidRPr="005B6427">
        <w:rPr>
          <w:rFonts w:cstheme="minorHAnsi"/>
          <w:sz w:val="22"/>
          <w:szCs w:val="22"/>
        </w:rPr>
        <w:t>rere</w:t>
      </w:r>
      <w:r w:rsidRPr="005B6427">
        <w:rPr>
          <w:rFonts w:cstheme="minorHAnsi"/>
          <w:sz w:val="22"/>
          <w:szCs w:val="22"/>
        </w:rPr>
        <w:t>quisite use of conventional imaging at both initial staging and biochemical recurrence</w:t>
      </w:r>
      <w:r w:rsid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10</w:t>
      </w:r>
      <w:r w:rsidR="000B355A" w:rsidRPr="005B6427">
        <w:rPr>
          <w:rFonts w:cstheme="minorHAnsi"/>
          <w:sz w:val="22"/>
          <w:szCs w:val="22"/>
        </w:rPr>
        <w:t xml:space="preserve"> </w:t>
      </w:r>
    </w:p>
    <w:p w14:paraId="434F15C8" w14:textId="77777777" w:rsidR="000B355A" w:rsidRPr="005B6427" w:rsidRDefault="000B355A" w:rsidP="008E3205">
      <w:pPr>
        <w:rPr>
          <w:rFonts w:cstheme="minorHAnsi"/>
          <w:sz w:val="22"/>
          <w:szCs w:val="22"/>
        </w:rPr>
      </w:pPr>
    </w:p>
    <w:p w14:paraId="5A0E6FB3" w14:textId="338E732A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The selection of appropriate therapies is contingent upon the accurate assessment of the patient’s “true” burden of disease.</w:t>
      </w:r>
      <w:r w:rsidR="000B355A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It is estimated that 30-40% of patients will fail initial therapy and require additional treatment with many of</w:t>
      </w:r>
      <w:r w:rsidR="000B355A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these patients harboring occult metastatic disease. Therefore, accurate imaging at the time of diagnosis</w:t>
      </w:r>
      <w:r w:rsidR="000B355A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 xml:space="preserve">would help better identify patients likely to benefit from </w:t>
      </w:r>
      <w:r w:rsidR="00B62C11" w:rsidRPr="005B6427">
        <w:rPr>
          <w:rFonts w:cstheme="minorHAnsi"/>
          <w:sz w:val="22"/>
          <w:szCs w:val="22"/>
        </w:rPr>
        <w:t>first line</w:t>
      </w:r>
      <w:r w:rsidRPr="005B6427">
        <w:rPr>
          <w:rFonts w:cstheme="minorHAnsi"/>
          <w:sz w:val="22"/>
          <w:szCs w:val="22"/>
        </w:rPr>
        <w:t xml:space="preserve"> potentially curative treatment while </w:t>
      </w:r>
      <w:r w:rsidR="00B62C11" w:rsidRPr="005B6427">
        <w:rPr>
          <w:rFonts w:cstheme="minorHAnsi"/>
          <w:sz w:val="22"/>
          <w:szCs w:val="22"/>
        </w:rPr>
        <w:t xml:space="preserve">also </w:t>
      </w:r>
      <w:r w:rsidRPr="005B6427">
        <w:rPr>
          <w:rFonts w:cstheme="minorHAnsi"/>
          <w:sz w:val="22"/>
          <w:szCs w:val="22"/>
        </w:rPr>
        <w:t>identifying patients with metastatic spread of disease who would no longer be candidates for curative intent therapies.</w:t>
      </w:r>
    </w:p>
    <w:p w14:paraId="76E00482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0B19F14E" w14:textId="38F146DE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Given PSMA-targeted PET imaging with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 xml:space="preserve">Gallium PSMA 11 injection’s demonstrated ability to accurately detect prostate cancer lesions, both at initial diagnosis and at recurrence of the disease after treatment failure, utilization of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>Gallium PSMA-11 has been shown to enable and improve disease assessment for patients for patients across the spectrum of prostate cancer</w:t>
      </w:r>
      <w:r w:rsidR="00B62C11" w:rsidRP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1,2</w:t>
      </w:r>
    </w:p>
    <w:p w14:paraId="7D4AFD65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40E81782" w14:textId="5F4F80A3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The safety and efficacy of </w:t>
      </w:r>
      <w:r w:rsidR="00B62C11" w:rsidRPr="005B6427">
        <w:rPr>
          <w:rFonts w:cstheme="minorHAnsi"/>
          <w:sz w:val="22"/>
          <w:szCs w:val="22"/>
          <w:vertAlign w:val="superscript"/>
        </w:rPr>
        <w:t>68</w:t>
      </w:r>
      <w:r w:rsidR="00B62C11" w:rsidRPr="005B6427">
        <w:rPr>
          <w:rFonts w:cstheme="minorHAnsi"/>
          <w:sz w:val="22"/>
          <w:szCs w:val="22"/>
        </w:rPr>
        <w:t xml:space="preserve">Gallium </w:t>
      </w:r>
      <w:r w:rsidRPr="005B6427">
        <w:rPr>
          <w:rFonts w:cstheme="minorHAnsi"/>
          <w:sz w:val="22"/>
          <w:szCs w:val="22"/>
        </w:rPr>
        <w:t>PSMA-11 Injection were established in two prospective, open-label studies (PSMA-</w:t>
      </w:r>
      <w:proofErr w:type="spellStart"/>
      <w:r w:rsidRPr="005B6427">
        <w:rPr>
          <w:rFonts w:cstheme="minorHAnsi"/>
          <w:sz w:val="22"/>
          <w:szCs w:val="22"/>
        </w:rPr>
        <w:t>PreRP</w:t>
      </w:r>
      <w:proofErr w:type="spellEnd"/>
      <w:r w:rsidRPr="005B6427">
        <w:rPr>
          <w:rFonts w:cstheme="minorHAnsi"/>
          <w:sz w:val="22"/>
          <w:szCs w:val="22"/>
        </w:rPr>
        <w:t xml:space="preserve"> and PSMA-BCR) in men with prostate cancer.</w:t>
      </w:r>
      <w:r w:rsidRPr="005B6427">
        <w:rPr>
          <w:rFonts w:cstheme="minorHAnsi"/>
          <w:sz w:val="22"/>
          <w:szCs w:val="22"/>
          <w:vertAlign w:val="superscript"/>
        </w:rPr>
        <w:t>3</w:t>
      </w:r>
    </w:p>
    <w:p w14:paraId="22DAADF8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3A50D178" w14:textId="77777777" w:rsidR="008E3205" w:rsidRPr="005B6427" w:rsidRDefault="008E3205" w:rsidP="00156127">
      <w:pPr>
        <w:ind w:left="720"/>
        <w:rPr>
          <w:rFonts w:cstheme="minorHAnsi"/>
          <w:b/>
          <w:bCs/>
          <w:sz w:val="22"/>
          <w:szCs w:val="22"/>
        </w:rPr>
      </w:pPr>
      <w:r w:rsidRPr="005B6427">
        <w:rPr>
          <w:rFonts w:cstheme="minorHAnsi"/>
          <w:b/>
          <w:bCs/>
          <w:sz w:val="22"/>
          <w:szCs w:val="22"/>
        </w:rPr>
        <w:t>PSMA-</w:t>
      </w:r>
      <w:proofErr w:type="spellStart"/>
      <w:r w:rsidRPr="005B6427">
        <w:rPr>
          <w:rFonts w:cstheme="minorHAnsi"/>
          <w:b/>
          <w:bCs/>
          <w:sz w:val="22"/>
          <w:szCs w:val="22"/>
        </w:rPr>
        <w:t>PreRP</w:t>
      </w:r>
      <w:proofErr w:type="spellEnd"/>
      <w:r w:rsidRPr="005B6427">
        <w:rPr>
          <w:rFonts w:cstheme="minorHAnsi"/>
          <w:b/>
          <w:bCs/>
          <w:sz w:val="22"/>
          <w:szCs w:val="22"/>
        </w:rPr>
        <w:t xml:space="preserve"> </w:t>
      </w:r>
    </w:p>
    <w:p w14:paraId="6BAA2E41" w14:textId="07097605" w:rsidR="008E3205" w:rsidRPr="005B6427" w:rsidRDefault="008E3205" w:rsidP="00156127">
      <w:pPr>
        <w:ind w:left="72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This two-center study enrolled 325 patients with biopsy-proven prostate cancer who were considered candidates for prostatectomy and pelvic lymph node dissection. All enrolled patients met at least one of the following criteria: serum prostate-specific antigen (PSA) of at least 10 ng/mL, tumor stage cT2b or</w:t>
      </w:r>
      <w:r w:rsidR="00B62C11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greater, or Gleason score greater than 6. Each patient received a single Ga 68 PSMA-11 PET/CT or PET/MR from mid-thigh to skull base.</w:t>
      </w:r>
      <w:r w:rsidRPr="005B6427">
        <w:rPr>
          <w:rFonts w:cstheme="minorHAnsi"/>
          <w:sz w:val="22"/>
          <w:szCs w:val="22"/>
          <w:vertAlign w:val="superscript"/>
        </w:rPr>
        <w:t>3</w:t>
      </w:r>
    </w:p>
    <w:p w14:paraId="7ABD553E" w14:textId="77777777" w:rsidR="008E3205" w:rsidRPr="005B6427" w:rsidRDefault="008E3205" w:rsidP="00156127">
      <w:pPr>
        <w:ind w:left="720"/>
        <w:rPr>
          <w:rFonts w:cstheme="minorHAnsi"/>
          <w:sz w:val="22"/>
          <w:szCs w:val="22"/>
        </w:rPr>
      </w:pPr>
    </w:p>
    <w:p w14:paraId="4C7C1F70" w14:textId="7BC36E77" w:rsidR="008E3205" w:rsidRPr="005B6427" w:rsidRDefault="008E3205" w:rsidP="00156127">
      <w:pPr>
        <w:ind w:left="72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Approximately 24% of subjects studied were found to have pelvic nodal metastases based on histopathology (95% confidence interval: 17%, 32%)</w:t>
      </w:r>
      <w:r w:rsidR="00B62C11" w:rsidRP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3</w:t>
      </w:r>
      <w:r w:rsidRPr="005B6427">
        <w:rPr>
          <w:rFonts w:cstheme="minorHAnsi"/>
          <w:sz w:val="22"/>
          <w:szCs w:val="22"/>
        </w:rPr>
        <w:t xml:space="preserve">      </w:t>
      </w:r>
    </w:p>
    <w:p w14:paraId="0E87FF3B" w14:textId="77777777" w:rsidR="00B62C11" w:rsidRPr="005B6427" w:rsidRDefault="00B62C11" w:rsidP="00156127">
      <w:pPr>
        <w:ind w:left="720"/>
        <w:rPr>
          <w:rFonts w:cstheme="minorHAnsi"/>
          <w:sz w:val="22"/>
          <w:szCs w:val="22"/>
        </w:rPr>
      </w:pPr>
    </w:p>
    <w:p w14:paraId="50CEE587" w14:textId="1371C464" w:rsidR="008E3205" w:rsidRPr="005B6427" w:rsidRDefault="008E3205" w:rsidP="00156127">
      <w:pPr>
        <w:ind w:left="720"/>
        <w:rPr>
          <w:rFonts w:cstheme="minorHAnsi"/>
          <w:b/>
          <w:bCs/>
          <w:sz w:val="22"/>
          <w:szCs w:val="22"/>
        </w:rPr>
      </w:pPr>
      <w:r w:rsidRPr="005B6427">
        <w:rPr>
          <w:rFonts w:cstheme="minorHAnsi"/>
          <w:b/>
          <w:bCs/>
          <w:sz w:val="22"/>
          <w:szCs w:val="22"/>
        </w:rPr>
        <w:t>PSMA-BCR</w:t>
      </w:r>
    </w:p>
    <w:p w14:paraId="6A746EDE" w14:textId="05A8C236" w:rsidR="008E3205" w:rsidRPr="005B6427" w:rsidRDefault="008E3205" w:rsidP="00156127">
      <w:pPr>
        <w:ind w:left="72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This two-center study enrolled 635 patients with biochemical evidence of recurrent prostate cancer after definitive therapy, defined by serum PSA of &gt;0.2 ng/mL more than 6 weeks after prostatectomy or by an increase in serum PSA of at least 2 ng/mL above nadir after definitive radiotherapy. All patients received a single </w:t>
      </w:r>
      <w:r w:rsidR="00B62C11" w:rsidRPr="005B6427">
        <w:rPr>
          <w:rFonts w:cstheme="minorHAnsi"/>
          <w:sz w:val="22"/>
          <w:szCs w:val="22"/>
          <w:vertAlign w:val="superscript"/>
        </w:rPr>
        <w:t>68</w:t>
      </w:r>
      <w:r w:rsidR="00B62C11" w:rsidRPr="005B6427">
        <w:rPr>
          <w:rFonts w:cstheme="minorHAnsi"/>
          <w:sz w:val="22"/>
          <w:szCs w:val="22"/>
        </w:rPr>
        <w:t xml:space="preserve">Gallium </w:t>
      </w:r>
      <w:r w:rsidRPr="005B6427">
        <w:rPr>
          <w:rFonts w:cstheme="minorHAnsi"/>
          <w:sz w:val="22"/>
          <w:szCs w:val="22"/>
        </w:rPr>
        <w:t xml:space="preserve">PSMA-11 PET/CT or PET/MR from mid-thigh to skull base. Three members of a pool of nine independent central readers evaluated each scan for the presence and regional location (20 subregions grouped into four regions) of abnormal </w:t>
      </w:r>
      <w:r w:rsidR="00243C58" w:rsidRPr="005B6427">
        <w:rPr>
          <w:rFonts w:cstheme="minorHAnsi"/>
          <w:sz w:val="22"/>
          <w:szCs w:val="22"/>
          <w:vertAlign w:val="superscript"/>
        </w:rPr>
        <w:t>68</w:t>
      </w:r>
      <w:r w:rsidR="00243C58" w:rsidRPr="005B6427">
        <w:rPr>
          <w:rFonts w:cstheme="minorHAnsi"/>
          <w:sz w:val="22"/>
          <w:szCs w:val="22"/>
        </w:rPr>
        <w:t xml:space="preserve">Gallium </w:t>
      </w:r>
      <w:r w:rsidRPr="005B6427">
        <w:rPr>
          <w:rFonts w:cstheme="minorHAnsi"/>
          <w:sz w:val="22"/>
          <w:szCs w:val="22"/>
        </w:rPr>
        <w:t>PSMA-11 uptake suggestive of recurrent prostate cancer. The readers were blinded</w:t>
      </w:r>
      <w:r w:rsidR="00243C58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to all clinical information other than type of primary therapy and most recent serum PSA level</w:t>
      </w:r>
      <w:r w:rsidR="00243C58" w:rsidRP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3</w:t>
      </w:r>
    </w:p>
    <w:p w14:paraId="0FCE2F3D" w14:textId="77777777" w:rsidR="008E3205" w:rsidRPr="005B6427" w:rsidRDefault="008E3205" w:rsidP="00156127">
      <w:pPr>
        <w:ind w:left="720"/>
        <w:rPr>
          <w:rFonts w:cstheme="minorHAnsi"/>
          <w:sz w:val="22"/>
          <w:szCs w:val="22"/>
        </w:rPr>
      </w:pPr>
    </w:p>
    <w:p w14:paraId="663796FC" w14:textId="48A2827D" w:rsidR="008E3205" w:rsidRPr="005B6427" w:rsidRDefault="008E3205" w:rsidP="00156127">
      <w:pPr>
        <w:ind w:left="72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Of the 210 evaluable patients, 192 patients (91%) were found to be true positive in one or more regions against the composite reference standard (95% confidence interval: 88%, 95%). Among the pool of nine readers used in the study, the proportion of patients who were true positive in one or more regions ranged from 82% to 97%.</w:t>
      </w:r>
      <w:r w:rsidR="00243C58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The prostate bed had the lowest proportion of true positive results at the region-level (76% versus 96% for non- prostate regions)</w:t>
      </w:r>
      <w:r w:rsidR="00243C58" w:rsidRPr="005B6427">
        <w:rPr>
          <w:rFonts w:cstheme="minorHAnsi"/>
          <w:sz w:val="22"/>
          <w:szCs w:val="22"/>
        </w:rPr>
        <w:t>.</w:t>
      </w:r>
      <w:r w:rsidRPr="005B6427">
        <w:rPr>
          <w:rFonts w:cstheme="minorHAnsi"/>
          <w:sz w:val="22"/>
          <w:szCs w:val="22"/>
          <w:vertAlign w:val="superscript"/>
        </w:rPr>
        <w:t>3</w:t>
      </w:r>
    </w:p>
    <w:p w14:paraId="7DA82293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 </w:t>
      </w:r>
    </w:p>
    <w:p w14:paraId="38BD0912" w14:textId="4DE5D7EC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Approved by the FDA as of December </w:t>
      </w:r>
      <w:r w:rsidR="00D516FE">
        <w:rPr>
          <w:rFonts w:cstheme="minorHAnsi"/>
          <w:sz w:val="22"/>
          <w:szCs w:val="22"/>
        </w:rPr>
        <w:t>17</w:t>
      </w:r>
      <w:r w:rsidRPr="005B6427">
        <w:rPr>
          <w:rFonts w:cstheme="minorHAnsi"/>
          <w:sz w:val="22"/>
          <w:szCs w:val="22"/>
        </w:rPr>
        <w:t>, 2021, the labeled indication is as follows</w:t>
      </w:r>
      <w:r w:rsidR="00243C58" w:rsidRPr="005B6427">
        <w:rPr>
          <w:rFonts w:cstheme="minorHAnsi"/>
          <w:sz w:val="22"/>
          <w:szCs w:val="22"/>
        </w:rPr>
        <w:t>:</w:t>
      </w:r>
      <w:r w:rsidRPr="005B6427">
        <w:rPr>
          <w:rFonts w:cstheme="minorHAnsi"/>
          <w:sz w:val="22"/>
          <w:szCs w:val="22"/>
          <w:vertAlign w:val="superscript"/>
        </w:rPr>
        <w:t>3</w:t>
      </w:r>
    </w:p>
    <w:p w14:paraId="4711B940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32345E3E" w14:textId="26B5919E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ILLUCCIX, after radiolabeling with Ga 68, is a radioactive diagnostic agent indicated for positron emission tomography (PET) of prostate-specific membrane antigen (PSMA) positive lesions in men with prostate cancer:</w:t>
      </w:r>
    </w:p>
    <w:p w14:paraId="1E103935" w14:textId="73DA8F26" w:rsidR="008E3205" w:rsidRPr="005B6427" w:rsidRDefault="008E3205" w:rsidP="00243C5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with suspected metastasis who are candidates for initial definitive therapy.</w:t>
      </w:r>
    </w:p>
    <w:p w14:paraId="6F6F6112" w14:textId="36943BF6" w:rsidR="008E3205" w:rsidRPr="005B6427" w:rsidRDefault="008E3205" w:rsidP="00243C5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with suspected recurrence based on elevated serum prostate-specific antigen (PSA) level.</w:t>
      </w:r>
    </w:p>
    <w:p w14:paraId="6D021AC8" w14:textId="7DE6BEF8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For the reasons stated above, I strongly believe that PSMA-targeted PET imaging with </w:t>
      </w:r>
      <w:r w:rsidRPr="005B6427">
        <w:rPr>
          <w:rFonts w:cstheme="minorHAnsi"/>
          <w:sz w:val="22"/>
          <w:szCs w:val="22"/>
          <w:vertAlign w:val="superscript"/>
        </w:rPr>
        <w:t>68</w:t>
      </w:r>
      <w:r w:rsidRPr="005B6427">
        <w:rPr>
          <w:rFonts w:cstheme="minorHAnsi"/>
          <w:sz w:val="22"/>
          <w:szCs w:val="22"/>
        </w:rPr>
        <w:t xml:space="preserve">Gallium PSMA-11 injection is appropriate and required for </w:t>
      </w:r>
      <w:r w:rsidRPr="005B6427">
        <w:rPr>
          <w:rFonts w:cstheme="minorHAnsi"/>
          <w:sz w:val="22"/>
          <w:szCs w:val="22"/>
          <w:highlight w:val="yellow"/>
        </w:rPr>
        <w:t>[patient name</w:t>
      </w:r>
      <w:r w:rsidRPr="005B6427">
        <w:rPr>
          <w:rFonts w:cstheme="minorHAnsi"/>
          <w:sz w:val="22"/>
          <w:szCs w:val="22"/>
        </w:rPr>
        <w:t>] and should be a covered benefit.</w:t>
      </w:r>
    </w:p>
    <w:p w14:paraId="18392BF4" w14:textId="6457ECDB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6647573A" w14:textId="00C7B371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Thank you for your time and consideration. If you have any questions and/or concerns, regarding the procedure</w:t>
      </w:r>
      <w:r w:rsidR="00243C58" w:rsidRPr="005B6427">
        <w:rPr>
          <w:rFonts w:cstheme="minorHAnsi"/>
          <w:sz w:val="22"/>
          <w:szCs w:val="22"/>
        </w:rPr>
        <w:t xml:space="preserve"> </w:t>
      </w:r>
      <w:r w:rsidRPr="005B6427">
        <w:rPr>
          <w:rFonts w:cstheme="minorHAnsi"/>
          <w:sz w:val="22"/>
          <w:szCs w:val="22"/>
        </w:rPr>
        <w:t>or this patient’s medical condition, please do not hesitate to contact me at the number listed below.</w:t>
      </w:r>
    </w:p>
    <w:p w14:paraId="59EA3DA9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755EE0A4" w14:textId="77777777" w:rsidR="00243C58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We look forward to </w:t>
      </w:r>
      <w:r w:rsidRPr="005B6427">
        <w:rPr>
          <w:rFonts w:cstheme="minorHAnsi"/>
          <w:sz w:val="22"/>
          <w:szCs w:val="22"/>
          <w:highlight w:val="yellow"/>
        </w:rPr>
        <w:t>[payer name]</w:t>
      </w:r>
      <w:r w:rsidRPr="005B6427">
        <w:rPr>
          <w:rFonts w:cstheme="minorHAnsi"/>
          <w:sz w:val="22"/>
          <w:szCs w:val="22"/>
        </w:rPr>
        <w:t xml:space="preserve">’s timely, positive response. </w:t>
      </w:r>
    </w:p>
    <w:p w14:paraId="5F209A43" w14:textId="77777777" w:rsidR="00243C58" w:rsidRPr="005B6427" w:rsidRDefault="00243C58" w:rsidP="008E3205">
      <w:pPr>
        <w:rPr>
          <w:rFonts w:cstheme="minorHAnsi"/>
          <w:sz w:val="22"/>
          <w:szCs w:val="22"/>
        </w:rPr>
      </w:pPr>
    </w:p>
    <w:p w14:paraId="0A4C6453" w14:textId="53DCF7F0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Sincerely,</w:t>
      </w:r>
    </w:p>
    <w:p w14:paraId="2FB17528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45E8516E" w14:textId="77777777" w:rsidR="008E3205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>[MD Name]</w:t>
      </w:r>
    </w:p>
    <w:p w14:paraId="023F409A" w14:textId="77777777" w:rsidR="00243C58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 xml:space="preserve">[Practice Group Name] </w:t>
      </w:r>
    </w:p>
    <w:p w14:paraId="79FD5505" w14:textId="77777777" w:rsidR="00243C58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 xml:space="preserve">[Street Address] </w:t>
      </w:r>
    </w:p>
    <w:p w14:paraId="30977835" w14:textId="77777777" w:rsidR="00243C58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 xml:space="preserve">[City/Town, State Zip] </w:t>
      </w:r>
    </w:p>
    <w:p w14:paraId="7C88B0E4" w14:textId="06B388E5" w:rsidR="008E3205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>Phone#:</w:t>
      </w:r>
    </w:p>
    <w:p w14:paraId="22F7030E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Fax#:</w:t>
      </w:r>
    </w:p>
    <w:p w14:paraId="793CFD09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08E3D14D" w14:textId="77777777" w:rsidR="00243C58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 xml:space="preserve">TIN: </w:t>
      </w:r>
    </w:p>
    <w:p w14:paraId="33C43104" w14:textId="3DEB59E1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NPI#:</w:t>
      </w:r>
    </w:p>
    <w:p w14:paraId="08992BEA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363A2CBB" w14:textId="77777777" w:rsidR="00243C58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 xml:space="preserve">Imaging/Hospital Facility info: </w:t>
      </w:r>
    </w:p>
    <w:p w14:paraId="77367217" w14:textId="621762E7" w:rsidR="008E3205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>[Facility Name]</w:t>
      </w:r>
    </w:p>
    <w:p w14:paraId="284E6221" w14:textId="77777777" w:rsidR="00243C58" w:rsidRPr="005B6427" w:rsidRDefault="008E3205" w:rsidP="008E3205">
      <w:pPr>
        <w:rPr>
          <w:rFonts w:cstheme="minorHAnsi"/>
          <w:sz w:val="22"/>
          <w:szCs w:val="22"/>
          <w:highlight w:val="yellow"/>
        </w:rPr>
      </w:pPr>
      <w:r w:rsidRPr="005B6427">
        <w:rPr>
          <w:rFonts w:cstheme="minorHAnsi"/>
          <w:sz w:val="22"/>
          <w:szCs w:val="22"/>
          <w:highlight w:val="yellow"/>
        </w:rPr>
        <w:t xml:space="preserve">TIN: </w:t>
      </w:r>
    </w:p>
    <w:p w14:paraId="7EC3E47F" w14:textId="26E1322B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  <w:highlight w:val="yellow"/>
        </w:rPr>
        <w:t>NPI #:</w:t>
      </w:r>
    </w:p>
    <w:p w14:paraId="3C21DDFD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7A4E0481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1E0FC1A6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Enclosures</w:t>
      </w:r>
    </w:p>
    <w:p w14:paraId="5D84CFA6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</w:p>
    <w:p w14:paraId="4B1F050C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 </w:t>
      </w:r>
    </w:p>
    <w:p w14:paraId="00116CDD" w14:textId="77777777" w:rsidR="008E3205" w:rsidRPr="005B6427" w:rsidRDefault="008E3205" w:rsidP="008E3205">
      <w:pPr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References:</w:t>
      </w:r>
    </w:p>
    <w:p w14:paraId="378A030C" w14:textId="5E5398CA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Fendler WP, Calais J, </w:t>
      </w:r>
      <w:proofErr w:type="spellStart"/>
      <w:r w:rsidRPr="005B6427">
        <w:rPr>
          <w:rFonts w:cstheme="minorHAnsi"/>
          <w:sz w:val="22"/>
          <w:szCs w:val="22"/>
        </w:rPr>
        <w:t>Eiber</w:t>
      </w:r>
      <w:proofErr w:type="spellEnd"/>
      <w:r w:rsidRPr="005B6427">
        <w:rPr>
          <w:rFonts w:cstheme="minorHAnsi"/>
          <w:sz w:val="22"/>
          <w:szCs w:val="22"/>
        </w:rPr>
        <w:t xml:space="preserve"> M, Flavell RR, </w:t>
      </w:r>
      <w:proofErr w:type="spellStart"/>
      <w:r w:rsidRPr="005B6427">
        <w:rPr>
          <w:rFonts w:cstheme="minorHAnsi"/>
          <w:sz w:val="22"/>
          <w:szCs w:val="22"/>
        </w:rPr>
        <w:t>Mishoe</w:t>
      </w:r>
      <w:proofErr w:type="spellEnd"/>
      <w:r w:rsidRPr="005B6427">
        <w:rPr>
          <w:rFonts w:cstheme="minorHAnsi"/>
          <w:sz w:val="22"/>
          <w:szCs w:val="22"/>
        </w:rPr>
        <w:t xml:space="preserve"> A et al., Assessment of 68Ga-PSMA-11 PET Accuracy in Localizing Recurrent Prostate Cancer: A Prospective Single-Arm Clinical Trial. JAMA Oncol. 2019 Jun 1;5(6):856-863.</w:t>
      </w:r>
    </w:p>
    <w:p w14:paraId="44A3B602" w14:textId="3D07098F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lastRenderedPageBreak/>
        <w:t xml:space="preserve">Hope TA, </w:t>
      </w:r>
      <w:proofErr w:type="spellStart"/>
      <w:r w:rsidRPr="005B6427">
        <w:rPr>
          <w:rFonts w:cstheme="minorHAnsi"/>
          <w:sz w:val="22"/>
          <w:szCs w:val="22"/>
        </w:rPr>
        <w:t>Eiber</w:t>
      </w:r>
      <w:proofErr w:type="spellEnd"/>
      <w:r w:rsidRPr="005B6427">
        <w:rPr>
          <w:rFonts w:cstheme="minorHAnsi"/>
          <w:sz w:val="22"/>
          <w:szCs w:val="22"/>
        </w:rPr>
        <w:t xml:space="preserve"> M, Armstrong W, Juarez R, Murthy V et al., Diagnostic Accuracy of 68Ga-PSMA-11 PET for Pelvic Nodal Metastasis Detection Prior to Radical Prostatectomy and Pelvic Lymph Node Dissection: A Multicenter Prospective Phase 3 Imaging Trial. JAMA Oncol. 2021 Nov 1;7(11)1635-1642. </w:t>
      </w:r>
    </w:p>
    <w:p w14:paraId="578A3940" w14:textId="20D25D51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Telix Prescribing Information, http://illuccixhcp.com/s/illuccix-prescribing-information.pdf</w:t>
      </w:r>
    </w:p>
    <w:p w14:paraId="6CC333E0" w14:textId="7EF60D81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proofErr w:type="spellStart"/>
      <w:r w:rsidRPr="005B6427">
        <w:rPr>
          <w:rFonts w:cstheme="minorHAnsi"/>
          <w:sz w:val="22"/>
          <w:szCs w:val="22"/>
        </w:rPr>
        <w:t>Hofman</w:t>
      </w:r>
      <w:proofErr w:type="spellEnd"/>
      <w:r w:rsidRPr="005B6427">
        <w:rPr>
          <w:rFonts w:cstheme="minorHAnsi"/>
          <w:sz w:val="22"/>
          <w:szCs w:val="22"/>
        </w:rPr>
        <w:t xml:space="preserve"> MS, </w:t>
      </w:r>
      <w:proofErr w:type="spellStart"/>
      <w:r w:rsidRPr="005B6427">
        <w:rPr>
          <w:rFonts w:cstheme="minorHAnsi"/>
          <w:sz w:val="22"/>
          <w:szCs w:val="22"/>
        </w:rPr>
        <w:t>Lawrentschuk</w:t>
      </w:r>
      <w:proofErr w:type="spellEnd"/>
      <w:r w:rsidRPr="005B6427">
        <w:rPr>
          <w:rFonts w:cstheme="minorHAnsi"/>
          <w:sz w:val="22"/>
          <w:szCs w:val="22"/>
        </w:rPr>
        <w:t xml:space="preserve"> N, Francis RJ, Tang C, Vela I, et al., Prostate-specific membrane antigen PET-CT in patients with high-risk prostate cancer before curative-intent surgery or radiotherapy (</w:t>
      </w:r>
      <w:proofErr w:type="spellStart"/>
      <w:r w:rsidRPr="005B6427">
        <w:rPr>
          <w:rFonts w:cstheme="minorHAnsi"/>
          <w:sz w:val="22"/>
          <w:szCs w:val="22"/>
        </w:rPr>
        <w:t>proPSMA</w:t>
      </w:r>
      <w:proofErr w:type="spellEnd"/>
      <w:r w:rsidRPr="005B6427">
        <w:rPr>
          <w:rFonts w:cstheme="minorHAnsi"/>
          <w:sz w:val="22"/>
          <w:szCs w:val="22"/>
        </w:rPr>
        <w:t xml:space="preserve">): a prospective, </w:t>
      </w:r>
      <w:proofErr w:type="spellStart"/>
      <w:r w:rsidRPr="005B6427">
        <w:rPr>
          <w:rFonts w:cstheme="minorHAnsi"/>
          <w:sz w:val="22"/>
          <w:szCs w:val="22"/>
        </w:rPr>
        <w:t>randomised</w:t>
      </w:r>
      <w:proofErr w:type="spellEnd"/>
      <w:r w:rsidRPr="005B6427">
        <w:rPr>
          <w:rFonts w:cstheme="minorHAnsi"/>
          <w:sz w:val="22"/>
          <w:szCs w:val="22"/>
        </w:rPr>
        <w:t xml:space="preserve">, </w:t>
      </w:r>
      <w:proofErr w:type="spellStart"/>
      <w:r w:rsidRPr="005B6427">
        <w:rPr>
          <w:rFonts w:cstheme="minorHAnsi"/>
          <w:sz w:val="22"/>
          <w:szCs w:val="22"/>
        </w:rPr>
        <w:t>multicentre</w:t>
      </w:r>
      <w:proofErr w:type="spellEnd"/>
      <w:r w:rsidRPr="005B6427">
        <w:rPr>
          <w:rFonts w:cstheme="minorHAnsi"/>
          <w:sz w:val="22"/>
          <w:szCs w:val="22"/>
        </w:rPr>
        <w:t xml:space="preserve"> study. Lancet. 2020 Apr 11;395(10231):1208-1216. </w:t>
      </w:r>
    </w:p>
    <w:p w14:paraId="17A9FA3C" w14:textId="0778881A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 xml:space="preserve">Hope TA, Goodman JZ, Allen IE, Calais J, </w:t>
      </w:r>
      <w:proofErr w:type="spellStart"/>
      <w:r w:rsidRPr="005B6427">
        <w:rPr>
          <w:rFonts w:cstheme="minorHAnsi"/>
          <w:sz w:val="22"/>
          <w:szCs w:val="22"/>
        </w:rPr>
        <w:t>Fendler</w:t>
      </w:r>
      <w:proofErr w:type="spellEnd"/>
      <w:r w:rsidRPr="005B6427">
        <w:rPr>
          <w:rFonts w:cstheme="minorHAnsi"/>
          <w:sz w:val="22"/>
          <w:szCs w:val="22"/>
        </w:rPr>
        <w:t xml:space="preserve"> WP, Carroll PR. </w:t>
      </w:r>
      <w:proofErr w:type="spellStart"/>
      <w:r w:rsidRPr="005B6427">
        <w:rPr>
          <w:rFonts w:cstheme="minorHAnsi"/>
          <w:sz w:val="22"/>
          <w:szCs w:val="22"/>
        </w:rPr>
        <w:t>Metaanalysis</w:t>
      </w:r>
      <w:proofErr w:type="spellEnd"/>
      <w:r w:rsidRPr="005B6427">
        <w:rPr>
          <w:rFonts w:cstheme="minorHAnsi"/>
          <w:sz w:val="22"/>
          <w:szCs w:val="22"/>
        </w:rPr>
        <w:t xml:space="preserve"> of 68Ga-PSMA-11 PET Accuracy for the Detection of Prostate Cancer Validated by Histopathology. J </w:t>
      </w:r>
      <w:proofErr w:type="spellStart"/>
      <w:r w:rsidRPr="005B6427">
        <w:rPr>
          <w:rFonts w:cstheme="minorHAnsi"/>
          <w:sz w:val="22"/>
          <w:szCs w:val="22"/>
        </w:rPr>
        <w:t>Nucl</w:t>
      </w:r>
      <w:proofErr w:type="spellEnd"/>
      <w:r w:rsidRPr="005B6427">
        <w:rPr>
          <w:rFonts w:cstheme="minorHAnsi"/>
          <w:sz w:val="22"/>
          <w:szCs w:val="22"/>
        </w:rPr>
        <w:t xml:space="preserve"> Med. 2019 Jun;60(6):786-793.</w:t>
      </w:r>
    </w:p>
    <w:p w14:paraId="6EF18BF6" w14:textId="1541E045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proofErr w:type="spellStart"/>
      <w:r w:rsidRPr="005B6427">
        <w:rPr>
          <w:rFonts w:cstheme="minorHAnsi"/>
          <w:sz w:val="22"/>
          <w:szCs w:val="22"/>
        </w:rPr>
        <w:t>Perera</w:t>
      </w:r>
      <w:proofErr w:type="spellEnd"/>
      <w:r w:rsidRPr="005B6427">
        <w:rPr>
          <w:rFonts w:cstheme="minorHAnsi"/>
          <w:sz w:val="22"/>
          <w:szCs w:val="22"/>
        </w:rPr>
        <w:t xml:space="preserve"> M, Papa N, Roberts M, Williams M, </w:t>
      </w:r>
      <w:proofErr w:type="spellStart"/>
      <w:r w:rsidRPr="005B6427">
        <w:rPr>
          <w:rFonts w:cstheme="minorHAnsi"/>
          <w:sz w:val="22"/>
          <w:szCs w:val="22"/>
        </w:rPr>
        <w:t>Udovicich</w:t>
      </w:r>
      <w:proofErr w:type="spellEnd"/>
      <w:r w:rsidRPr="005B6427">
        <w:rPr>
          <w:rFonts w:cstheme="minorHAnsi"/>
          <w:sz w:val="22"/>
          <w:szCs w:val="22"/>
        </w:rPr>
        <w:t xml:space="preserve"> C et al., Gallium-68 Prostate-specific Membrane Antigen Positron Emission Tomography in Advanced Prostate Cancer-Updated Diagnostic Utility, Sensitivity, Specificity, and Distribution of Prostate-specific Membrane Antigen-avid Lesions: A Systematic Review and Meta-analysis. Eur Urol. 2020 Apr;77(4):403-417.</w:t>
      </w:r>
    </w:p>
    <w:p w14:paraId="4393571A" w14:textId="1E8E2B8B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proofErr w:type="spellStart"/>
      <w:r w:rsidRPr="005B6427">
        <w:rPr>
          <w:rFonts w:cstheme="minorHAnsi"/>
          <w:sz w:val="22"/>
          <w:szCs w:val="22"/>
        </w:rPr>
        <w:t>Eiber</w:t>
      </w:r>
      <w:proofErr w:type="spellEnd"/>
      <w:r w:rsidRPr="005B6427">
        <w:rPr>
          <w:rFonts w:cstheme="minorHAnsi"/>
          <w:sz w:val="22"/>
          <w:szCs w:val="22"/>
        </w:rPr>
        <w:t xml:space="preserve"> M, Maurer T, </w:t>
      </w:r>
      <w:proofErr w:type="spellStart"/>
      <w:r w:rsidRPr="005B6427">
        <w:rPr>
          <w:rFonts w:cstheme="minorHAnsi"/>
          <w:sz w:val="22"/>
          <w:szCs w:val="22"/>
        </w:rPr>
        <w:t>Souvatzoglou</w:t>
      </w:r>
      <w:proofErr w:type="spellEnd"/>
      <w:r w:rsidRPr="005B6427">
        <w:rPr>
          <w:rFonts w:cstheme="minorHAnsi"/>
          <w:sz w:val="22"/>
          <w:szCs w:val="22"/>
        </w:rPr>
        <w:t xml:space="preserve"> M, Beer AJ, </w:t>
      </w:r>
      <w:proofErr w:type="spellStart"/>
      <w:r w:rsidRPr="005B6427">
        <w:rPr>
          <w:rFonts w:cstheme="minorHAnsi"/>
          <w:sz w:val="22"/>
          <w:szCs w:val="22"/>
        </w:rPr>
        <w:t>Ruffani</w:t>
      </w:r>
      <w:proofErr w:type="spellEnd"/>
      <w:r w:rsidRPr="005B6427">
        <w:rPr>
          <w:rFonts w:cstheme="minorHAnsi"/>
          <w:sz w:val="22"/>
          <w:szCs w:val="22"/>
        </w:rPr>
        <w:t xml:space="preserve"> A et al., Evaluation of Hybrid 68Ga-PSMA Ligand PET/CT in 248 Patients with Biochemical Recurrence After Radical Prostatectomy. J </w:t>
      </w:r>
      <w:proofErr w:type="spellStart"/>
      <w:r w:rsidRPr="005B6427">
        <w:rPr>
          <w:rFonts w:cstheme="minorHAnsi"/>
          <w:sz w:val="22"/>
          <w:szCs w:val="22"/>
        </w:rPr>
        <w:t>Nucl</w:t>
      </w:r>
      <w:proofErr w:type="spellEnd"/>
      <w:r w:rsidRPr="005B6427">
        <w:rPr>
          <w:rFonts w:cstheme="minorHAnsi"/>
          <w:sz w:val="22"/>
          <w:szCs w:val="22"/>
        </w:rPr>
        <w:t xml:space="preserve"> Med. 2015 May 56(5):668-674.</w:t>
      </w:r>
    </w:p>
    <w:p w14:paraId="0681484E" w14:textId="122741CE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proofErr w:type="spellStart"/>
      <w:r w:rsidRPr="005B6427">
        <w:rPr>
          <w:rFonts w:cstheme="minorHAnsi"/>
          <w:sz w:val="22"/>
          <w:szCs w:val="22"/>
        </w:rPr>
        <w:t>Visschere</w:t>
      </w:r>
      <w:proofErr w:type="spellEnd"/>
      <w:r w:rsidRPr="005B6427">
        <w:rPr>
          <w:rFonts w:cstheme="minorHAnsi"/>
          <w:sz w:val="22"/>
          <w:szCs w:val="22"/>
        </w:rPr>
        <w:t xml:space="preserve"> PJL, </w:t>
      </w:r>
      <w:proofErr w:type="spellStart"/>
      <w:r w:rsidRPr="005B6427">
        <w:rPr>
          <w:rFonts w:cstheme="minorHAnsi"/>
          <w:sz w:val="22"/>
          <w:szCs w:val="22"/>
        </w:rPr>
        <w:t>Standaert</w:t>
      </w:r>
      <w:proofErr w:type="spellEnd"/>
      <w:r w:rsidRPr="005B6427">
        <w:rPr>
          <w:rFonts w:cstheme="minorHAnsi"/>
          <w:sz w:val="22"/>
          <w:szCs w:val="22"/>
        </w:rPr>
        <w:t xml:space="preserve"> C, </w:t>
      </w:r>
      <w:proofErr w:type="spellStart"/>
      <w:r w:rsidRPr="005B6427">
        <w:rPr>
          <w:rFonts w:cstheme="minorHAnsi"/>
          <w:sz w:val="22"/>
          <w:szCs w:val="22"/>
        </w:rPr>
        <w:t>Futterer</w:t>
      </w:r>
      <w:proofErr w:type="spellEnd"/>
      <w:r w:rsidRPr="005B6427">
        <w:rPr>
          <w:rFonts w:cstheme="minorHAnsi"/>
          <w:sz w:val="22"/>
          <w:szCs w:val="22"/>
        </w:rPr>
        <w:t xml:space="preserve"> JJ, </w:t>
      </w:r>
      <w:proofErr w:type="spellStart"/>
      <w:r w:rsidRPr="005B6427">
        <w:rPr>
          <w:rFonts w:cstheme="minorHAnsi"/>
          <w:sz w:val="22"/>
          <w:szCs w:val="22"/>
        </w:rPr>
        <w:t>Villeirs</w:t>
      </w:r>
      <w:proofErr w:type="spellEnd"/>
      <w:r w:rsidRPr="005B6427">
        <w:rPr>
          <w:rFonts w:cstheme="minorHAnsi"/>
          <w:sz w:val="22"/>
          <w:szCs w:val="22"/>
        </w:rPr>
        <w:t xml:space="preserve"> GM, </w:t>
      </w:r>
      <w:proofErr w:type="spellStart"/>
      <w:r w:rsidRPr="005B6427">
        <w:rPr>
          <w:rFonts w:cstheme="minorHAnsi"/>
          <w:sz w:val="22"/>
          <w:szCs w:val="22"/>
        </w:rPr>
        <w:t>Panebianco</w:t>
      </w:r>
      <w:proofErr w:type="spellEnd"/>
      <w:r w:rsidRPr="005B6427">
        <w:rPr>
          <w:rFonts w:cstheme="minorHAnsi"/>
          <w:sz w:val="22"/>
          <w:szCs w:val="22"/>
        </w:rPr>
        <w:t xml:space="preserve"> V et al., A Systematic Review on the Role of Imaging in Early Recurrent Prostate Cancer. Eur </w:t>
      </w:r>
      <w:proofErr w:type="spellStart"/>
      <w:r w:rsidRPr="005B6427">
        <w:rPr>
          <w:rFonts w:cstheme="minorHAnsi"/>
          <w:sz w:val="22"/>
          <w:szCs w:val="22"/>
        </w:rPr>
        <w:t>Urol</w:t>
      </w:r>
      <w:proofErr w:type="spellEnd"/>
      <w:r w:rsidRPr="005B6427">
        <w:rPr>
          <w:rFonts w:cstheme="minorHAnsi"/>
          <w:sz w:val="22"/>
          <w:szCs w:val="22"/>
        </w:rPr>
        <w:t xml:space="preserve"> </w:t>
      </w:r>
      <w:proofErr w:type="spellStart"/>
      <w:r w:rsidRPr="005B6427">
        <w:rPr>
          <w:rFonts w:cstheme="minorHAnsi"/>
          <w:sz w:val="22"/>
          <w:szCs w:val="22"/>
        </w:rPr>
        <w:t>Onc</w:t>
      </w:r>
      <w:proofErr w:type="spellEnd"/>
      <w:r w:rsidRPr="005B6427">
        <w:rPr>
          <w:rFonts w:cstheme="minorHAnsi"/>
          <w:sz w:val="22"/>
          <w:szCs w:val="22"/>
        </w:rPr>
        <w:t xml:space="preserve">. 2019 Feb 2(1):47-76. </w:t>
      </w:r>
    </w:p>
    <w:p w14:paraId="28BF933B" w14:textId="6A23C630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proofErr w:type="spellStart"/>
      <w:r w:rsidRPr="005B6427">
        <w:rPr>
          <w:rFonts w:cstheme="minorHAnsi"/>
          <w:sz w:val="22"/>
          <w:szCs w:val="22"/>
        </w:rPr>
        <w:t>Asokendaran</w:t>
      </w:r>
      <w:proofErr w:type="spellEnd"/>
      <w:r w:rsidRPr="005B6427">
        <w:rPr>
          <w:rFonts w:cstheme="minorHAnsi"/>
          <w:sz w:val="22"/>
          <w:szCs w:val="22"/>
        </w:rPr>
        <w:t xml:space="preserve"> ME, Meyrick DP, Skelly LA, </w:t>
      </w:r>
      <w:proofErr w:type="spellStart"/>
      <w:r w:rsidRPr="005B6427">
        <w:rPr>
          <w:rFonts w:cstheme="minorHAnsi"/>
          <w:sz w:val="22"/>
          <w:szCs w:val="22"/>
        </w:rPr>
        <w:t>Lenzo</w:t>
      </w:r>
      <w:proofErr w:type="spellEnd"/>
      <w:r w:rsidRPr="005B6427">
        <w:rPr>
          <w:rFonts w:cstheme="minorHAnsi"/>
          <w:sz w:val="22"/>
          <w:szCs w:val="22"/>
        </w:rPr>
        <w:t xml:space="preserve"> NP, Henderson A. Gallium-68 prostate-specific membrane antigen positron emission tomography/computed tomography compared with diagnostic computed tomography in relapsed prostate cancer. World J </w:t>
      </w:r>
      <w:proofErr w:type="spellStart"/>
      <w:r w:rsidRPr="005B6427">
        <w:rPr>
          <w:rFonts w:cstheme="minorHAnsi"/>
          <w:sz w:val="22"/>
          <w:szCs w:val="22"/>
        </w:rPr>
        <w:t>Nucl</w:t>
      </w:r>
      <w:proofErr w:type="spellEnd"/>
      <w:r w:rsidRPr="005B6427">
        <w:rPr>
          <w:rFonts w:cstheme="minorHAnsi"/>
          <w:sz w:val="22"/>
          <w:szCs w:val="22"/>
        </w:rPr>
        <w:t xml:space="preserve"> Med </w:t>
      </w:r>
      <w:proofErr w:type="gramStart"/>
      <w:r w:rsidRPr="005B6427">
        <w:rPr>
          <w:rFonts w:cstheme="minorHAnsi"/>
          <w:sz w:val="22"/>
          <w:szCs w:val="22"/>
        </w:rPr>
        <w:t>2019;18:232</w:t>
      </w:r>
      <w:proofErr w:type="gramEnd"/>
      <w:r w:rsidRPr="005B6427">
        <w:rPr>
          <w:rFonts w:cstheme="minorHAnsi"/>
          <w:sz w:val="22"/>
          <w:szCs w:val="22"/>
        </w:rPr>
        <w:t>-7.</w:t>
      </w:r>
    </w:p>
    <w:p w14:paraId="1C2676C3" w14:textId="0E6621F9" w:rsidR="008E3205" w:rsidRPr="005B6427" w:rsidRDefault="008E3205" w:rsidP="005B6427">
      <w:pPr>
        <w:pStyle w:val="ListParagraph"/>
        <w:numPr>
          <w:ilvl w:val="0"/>
          <w:numId w:val="2"/>
        </w:numPr>
        <w:ind w:left="990" w:hanging="630"/>
        <w:rPr>
          <w:rFonts w:cstheme="minorHAnsi"/>
          <w:sz w:val="22"/>
          <w:szCs w:val="22"/>
        </w:rPr>
      </w:pPr>
      <w:r w:rsidRPr="005B6427">
        <w:rPr>
          <w:rFonts w:cstheme="minorHAnsi"/>
          <w:sz w:val="22"/>
          <w:szCs w:val="22"/>
        </w:rPr>
        <w:t>https://www.urologytimes.com/view/psma-pet-imaging-modalities-added-to-nccn-guidelines-for-prostate-cancer. (Accessed: 20th October 2021)</w:t>
      </w:r>
    </w:p>
    <w:p w14:paraId="2AA2BB83" w14:textId="77777777" w:rsidR="007369A8" w:rsidRPr="005B6427" w:rsidRDefault="00D27788">
      <w:pPr>
        <w:rPr>
          <w:rFonts w:cstheme="minorHAnsi"/>
          <w:sz w:val="22"/>
          <w:szCs w:val="22"/>
        </w:rPr>
      </w:pPr>
    </w:p>
    <w:sectPr w:rsidR="007369A8" w:rsidRPr="005B6427" w:rsidSect="005B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3161" w14:textId="77777777" w:rsidR="00D27788" w:rsidRDefault="00D27788" w:rsidP="00D516FE">
      <w:r>
        <w:separator/>
      </w:r>
    </w:p>
  </w:endnote>
  <w:endnote w:type="continuationSeparator" w:id="0">
    <w:p w14:paraId="40DAD96C" w14:textId="77777777" w:rsidR="00D27788" w:rsidRDefault="00D27788" w:rsidP="00D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4866" w14:textId="77777777" w:rsidR="00D27788" w:rsidRDefault="00D27788" w:rsidP="00D516FE">
      <w:r>
        <w:separator/>
      </w:r>
    </w:p>
  </w:footnote>
  <w:footnote w:type="continuationSeparator" w:id="0">
    <w:p w14:paraId="46C1E7F8" w14:textId="77777777" w:rsidR="00D27788" w:rsidRDefault="00D27788" w:rsidP="00D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CF4"/>
    <w:multiLevelType w:val="hybridMultilevel"/>
    <w:tmpl w:val="81F6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3BE7"/>
    <w:multiLevelType w:val="hybridMultilevel"/>
    <w:tmpl w:val="90E08BB2"/>
    <w:lvl w:ilvl="0" w:tplc="89C6E4D0">
      <w:start w:val="1"/>
      <w:numFmt w:val="decimal"/>
      <w:lvlText w:val="(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5"/>
    <w:rsid w:val="000B355A"/>
    <w:rsid w:val="00142763"/>
    <w:rsid w:val="00156127"/>
    <w:rsid w:val="00243C58"/>
    <w:rsid w:val="003F6156"/>
    <w:rsid w:val="00415F09"/>
    <w:rsid w:val="00496875"/>
    <w:rsid w:val="00546DAD"/>
    <w:rsid w:val="005B6427"/>
    <w:rsid w:val="007643F8"/>
    <w:rsid w:val="007E1D0D"/>
    <w:rsid w:val="008346FE"/>
    <w:rsid w:val="008E3205"/>
    <w:rsid w:val="00B62C11"/>
    <w:rsid w:val="00C36AC8"/>
    <w:rsid w:val="00D27788"/>
    <w:rsid w:val="00D516FE"/>
    <w:rsid w:val="00F9501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46B1B"/>
  <w15:chartTrackingRefBased/>
  <w15:docId w15:val="{4AB9D930-00B1-2249-A52B-9E13BE37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6FE"/>
  </w:style>
  <w:style w:type="paragraph" w:styleId="Footer">
    <w:name w:val="footer"/>
    <w:basedOn w:val="Normal"/>
    <w:link w:val="FooterChar"/>
    <w:uiPriority w:val="99"/>
    <w:unhideWhenUsed/>
    <w:rsid w:val="00D5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Chavez</dc:creator>
  <cp:keywords/>
  <dc:description/>
  <cp:lastModifiedBy>Jason Kaufmann</cp:lastModifiedBy>
  <cp:revision>2</cp:revision>
  <cp:lastPrinted>2022-01-05T20:17:00Z</cp:lastPrinted>
  <dcterms:created xsi:type="dcterms:W3CDTF">2022-01-07T14:52:00Z</dcterms:created>
  <dcterms:modified xsi:type="dcterms:W3CDTF">2022-01-07T14:52:00Z</dcterms:modified>
</cp:coreProperties>
</file>